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49" w:rsidRDefault="00E91C49" w:rsidP="006C6A52">
      <w:pPr>
        <w:jc w:val="both"/>
        <w:rPr>
          <w:b/>
          <w:sz w:val="24"/>
          <w:szCs w:val="24"/>
          <w:lang w:val="en"/>
        </w:rPr>
      </w:pPr>
      <w:r>
        <w:rPr>
          <w:b/>
          <w:sz w:val="24"/>
          <w:szCs w:val="24"/>
          <w:lang w:val="en"/>
        </w:rPr>
        <w:t>The Equality Act 2010: refra</w:t>
      </w:r>
      <w:r w:rsidR="008E012F">
        <w:rPr>
          <w:b/>
          <w:sz w:val="24"/>
          <w:szCs w:val="24"/>
          <w:lang w:val="en"/>
        </w:rPr>
        <w:t xml:space="preserve">cting the hierarchies </w:t>
      </w:r>
      <w:r w:rsidR="00BB5EAE">
        <w:rPr>
          <w:b/>
          <w:sz w:val="24"/>
          <w:szCs w:val="24"/>
          <w:lang w:val="en"/>
        </w:rPr>
        <w:t xml:space="preserve">and norms </w:t>
      </w:r>
      <w:r>
        <w:rPr>
          <w:b/>
          <w:sz w:val="24"/>
          <w:szCs w:val="24"/>
          <w:lang w:val="en"/>
        </w:rPr>
        <w:t xml:space="preserve">in equality and diversity scholarship </w:t>
      </w:r>
    </w:p>
    <w:p w:rsidR="00840650" w:rsidRPr="00E91C49" w:rsidRDefault="008800EB" w:rsidP="00E91C49">
      <w:pPr>
        <w:jc w:val="both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The purpose of this conceptual paper is to highlight </w:t>
      </w:r>
      <w:r w:rsidR="005B37F4">
        <w:rPr>
          <w:sz w:val="24"/>
          <w:szCs w:val="24"/>
          <w:lang w:val="en"/>
        </w:rPr>
        <w:t xml:space="preserve">the </w:t>
      </w:r>
      <w:r w:rsidR="00E91C49" w:rsidRPr="00E91C49">
        <w:rPr>
          <w:color w:val="000000" w:themeColor="text1"/>
          <w:sz w:val="24"/>
        </w:rPr>
        <w:t>hierarchical, unequal treatment of the different equality groups evident in the scholarly literature</w:t>
      </w:r>
      <w:r w:rsidR="00E91C49">
        <w:rPr>
          <w:color w:val="000000" w:themeColor="text1"/>
          <w:sz w:val="24"/>
        </w:rPr>
        <w:t>. The UK Equality Act 2010 (EqA 2010), where nine ‘protected characteristics’ are given legal parity, provides a frame for this.</w:t>
      </w:r>
    </w:p>
    <w:p w:rsidR="00E91C49" w:rsidRDefault="005B39EF" w:rsidP="00E91C49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="00CE7975">
        <w:rPr>
          <w:color w:val="000000" w:themeColor="text1"/>
          <w:sz w:val="24"/>
          <w:szCs w:val="24"/>
        </w:rPr>
        <w:t xml:space="preserve">n examination of the literature </w:t>
      </w:r>
      <w:r>
        <w:rPr>
          <w:color w:val="000000" w:themeColor="text1"/>
          <w:sz w:val="24"/>
          <w:szCs w:val="24"/>
        </w:rPr>
        <w:t>reveals</w:t>
      </w:r>
      <w:r w:rsidR="00E91C49" w:rsidRPr="00E91C49">
        <w:rPr>
          <w:color w:val="000000" w:themeColor="text1"/>
          <w:sz w:val="24"/>
          <w:szCs w:val="24"/>
        </w:rPr>
        <w:t xml:space="preserve"> a ‘canon’ of </w:t>
      </w:r>
      <w:r>
        <w:rPr>
          <w:color w:val="000000" w:themeColor="text1"/>
          <w:sz w:val="24"/>
          <w:szCs w:val="24"/>
        </w:rPr>
        <w:t xml:space="preserve">discursively constructed </w:t>
      </w:r>
      <w:r w:rsidR="00E91C49" w:rsidRPr="00E91C49">
        <w:rPr>
          <w:color w:val="000000" w:themeColor="text1"/>
          <w:sz w:val="24"/>
          <w:szCs w:val="24"/>
        </w:rPr>
        <w:t xml:space="preserve">core strands, namely gender, race and class, a second stratum comprising disability and sexuality, with religion and age consigned to the margins. </w:t>
      </w:r>
      <w:r>
        <w:rPr>
          <w:color w:val="000000" w:themeColor="text1"/>
          <w:sz w:val="24"/>
        </w:rPr>
        <w:t>T</w:t>
      </w:r>
      <w:r w:rsidRPr="00AA04C6">
        <w:rPr>
          <w:color w:val="000000" w:themeColor="text1"/>
          <w:sz w:val="24"/>
        </w:rPr>
        <w:t xml:space="preserve">he historical and persistent absence of discussion regarding </w:t>
      </w:r>
      <w:r>
        <w:rPr>
          <w:color w:val="000000" w:themeColor="text1"/>
          <w:sz w:val="24"/>
        </w:rPr>
        <w:t>the ‘non-core’ strands in the mainstream of</w:t>
      </w:r>
      <w:r w:rsidRPr="00AA04C6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equality and diversity </w:t>
      </w:r>
      <w:r w:rsidRPr="00AA04C6">
        <w:rPr>
          <w:color w:val="000000" w:themeColor="text1"/>
          <w:sz w:val="24"/>
        </w:rPr>
        <w:t>research denies how these identities impact on individuals, on organisations and on our understanding of employment.</w:t>
      </w:r>
    </w:p>
    <w:p w:rsidR="00C9704F" w:rsidRDefault="00CE7975" w:rsidP="00E91C49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Existing equality</w:t>
      </w:r>
      <w:r w:rsidRPr="00AA04C6">
        <w:rPr>
          <w:color w:val="000000" w:themeColor="text1"/>
          <w:sz w:val="24"/>
        </w:rPr>
        <w:t xml:space="preserve"> grou</w:t>
      </w:r>
      <w:r>
        <w:rPr>
          <w:color w:val="000000" w:themeColor="text1"/>
          <w:sz w:val="24"/>
        </w:rPr>
        <w:t>p categories</w:t>
      </w:r>
      <w:r w:rsidRPr="00AA04C6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are criticised for inadequately reflecting </w:t>
      </w:r>
      <w:r w:rsidRPr="00AA04C6">
        <w:rPr>
          <w:color w:val="000000" w:themeColor="text1"/>
          <w:sz w:val="24"/>
        </w:rPr>
        <w:t>heterogeneity</w:t>
      </w:r>
      <w:r>
        <w:rPr>
          <w:color w:val="000000" w:themeColor="text1"/>
          <w:sz w:val="24"/>
        </w:rPr>
        <w:t xml:space="preserve"> within groups (Healy et al, 2011; </w:t>
      </w:r>
      <w:r w:rsidRPr="00AA04C6">
        <w:rPr>
          <w:color w:val="000000" w:themeColor="text1"/>
          <w:sz w:val="24"/>
        </w:rPr>
        <w:t xml:space="preserve">Woodhams and Danieli </w:t>
      </w:r>
      <w:r w:rsidR="00147424">
        <w:rPr>
          <w:color w:val="000000" w:themeColor="text1"/>
          <w:sz w:val="24"/>
        </w:rPr>
        <w:t>2000</w:t>
      </w:r>
      <w:r w:rsidR="005B37F4">
        <w:rPr>
          <w:color w:val="000000" w:themeColor="text1"/>
          <w:sz w:val="24"/>
        </w:rPr>
        <w:t>).</w:t>
      </w:r>
      <w:r>
        <w:rPr>
          <w:color w:val="000000" w:themeColor="text1"/>
          <w:sz w:val="24"/>
        </w:rPr>
        <w:t xml:space="preserve"> </w:t>
      </w:r>
      <w:r w:rsidRPr="00AA04C6">
        <w:rPr>
          <w:color w:val="000000" w:themeColor="text1"/>
          <w:sz w:val="24"/>
        </w:rPr>
        <w:t>Counter</w:t>
      </w:r>
      <w:r>
        <w:rPr>
          <w:color w:val="000000" w:themeColor="text1"/>
          <w:sz w:val="24"/>
        </w:rPr>
        <w:t xml:space="preserve"> to this is the argument that, in recognizing</w:t>
      </w:r>
      <w:r w:rsidRPr="00AA04C6">
        <w:rPr>
          <w:color w:val="000000" w:themeColor="text1"/>
          <w:sz w:val="24"/>
        </w:rPr>
        <w:t xml:space="preserve"> subgroups, we risk overlooking common</w:t>
      </w:r>
      <w:r>
        <w:rPr>
          <w:color w:val="000000" w:themeColor="text1"/>
          <w:sz w:val="24"/>
        </w:rPr>
        <w:t xml:space="preserve"> patterns of </w:t>
      </w:r>
      <w:r w:rsidRPr="00AA04C6">
        <w:rPr>
          <w:color w:val="000000" w:themeColor="text1"/>
          <w:sz w:val="24"/>
        </w:rPr>
        <w:t>disadvantage (Healy et al, 2011:</w:t>
      </w:r>
      <w:r w:rsidR="00147424">
        <w:rPr>
          <w:color w:val="000000" w:themeColor="text1"/>
          <w:sz w:val="24"/>
        </w:rPr>
        <w:t xml:space="preserve"> </w:t>
      </w:r>
      <w:r w:rsidRPr="00AA04C6">
        <w:rPr>
          <w:color w:val="000000" w:themeColor="text1"/>
          <w:sz w:val="24"/>
        </w:rPr>
        <w:t>9). Similarly</w:t>
      </w:r>
      <w:r>
        <w:rPr>
          <w:color w:val="000000" w:themeColor="text1"/>
          <w:sz w:val="24"/>
        </w:rPr>
        <w:t xml:space="preserve"> an intersectional approach to </w:t>
      </w:r>
      <w:r w:rsidRPr="00AA04C6">
        <w:rPr>
          <w:color w:val="000000" w:themeColor="text1"/>
          <w:sz w:val="24"/>
        </w:rPr>
        <w:t>research raises issu</w:t>
      </w:r>
      <w:r w:rsidR="003802DD">
        <w:rPr>
          <w:color w:val="000000" w:themeColor="text1"/>
          <w:sz w:val="24"/>
        </w:rPr>
        <w:t>es of dilution and feasibility</w:t>
      </w:r>
      <w:r w:rsidR="008E012F">
        <w:rPr>
          <w:color w:val="000000" w:themeColor="text1"/>
          <w:sz w:val="24"/>
        </w:rPr>
        <w:t>,</w:t>
      </w:r>
      <w:r w:rsidR="003802DD">
        <w:rPr>
          <w:color w:val="000000" w:themeColor="text1"/>
          <w:sz w:val="24"/>
        </w:rPr>
        <w:t xml:space="preserve"> although the traditional ‘silo’</w:t>
      </w:r>
      <w:r w:rsidR="008E012F">
        <w:rPr>
          <w:color w:val="000000" w:themeColor="text1"/>
          <w:sz w:val="24"/>
        </w:rPr>
        <w:t xml:space="preserve"> approach</w:t>
      </w:r>
      <w:r w:rsidRPr="00AA04C6">
        <w:rPr>
          <w:color w:val="000000" w:themeColor="text1"/>
          <w:sz w:val="24"/>
        </w:rPr>
        <w:t xml:space="preserve"> can be argued to over-simplify the myriad </w:t>
      </w:r>
      <w:r>
        <w:rPr>
          <w:color w:val="000000" w:themeColor="text1"/>
          <w:sz w:val="24"/>
        </w:rPr>
        <w:t>plurality</w:t>
      </w:r>
      <w:r w:rsidRPr="00AA04C6">
        <w:rPr>
          <w:color w:val="000000" w:themeColor="text1"/>
          <w:sz w:val="24"/>
        </w:rPr>
        <w:t xml:space="preserve"> of our identities</w:t>
      </w:r>
      <w:r>
        <w:rPr>
          <w:color w:val="000000" w:themeColor="text1"/>
          <w:sz w:val="24"/>
        </w:rPr>
        <w:t xml:space="preserve"> and encourage essentialism (</w:t>
      </w:r>
      <w:r w:rsidRPr="00AA04C6">
        <w:rPr>
          <w:color w:val="000000" w:themeColor="text1"/>
          <w:sz w:val="24"/>
        </w:rPr>
        <w:t>Guerrier and Wilson, 2011</w:t>
      </w:r>
      <w:r>
        <w:rPr>
          <w:color w:val="000000" w:themeColor="text1"/>
          <w:sz w:val="24"/>
        </w:rPr>
        <w:t>; Zanoni and Janssens, 2003;</w:t>
      </w:r>
      <w:r w:rsidRPr="00AA04C6">
        <w:rPr>
          <w:color w:val="000000" w:themeColor="text1"/>
          <w:sz w:val="24"/>
        </w:rPr>
        <w:t xml:space="preserve"> Adib and Guerrier, 2003</w:t>
      </w:r>
      <w:r>
        <w:rPr>
          <w:color w:val="000000" w:themeColor="text1"/>
          <w:sz w:val="24"/>
        </w:rPr>
        <w:t xml:space="preserve">; </w:t>
      </w:r>
      <w:r w:rsidR="008F443A">
        <w:rPr>
          <w:color w:val="000000" w:themeColor="text1"/>
          <w:sz w:val="24"/>
        </w:rPr>
        <w:t>Acker, 2006</w:t>
      </w:r>
      <w:r w:rsidRPr="00AA04C6">
        <w:rPr>
          <w:color w:val="000000" w:themeColor="text1"/>
          <w:sz w:val="24"/>
        </w:rPr>
        <w:t>).</w:t>
      </w:r>
      <w:r w:rsidR="008F443A">
        <w:rPr>
          <w:color w:val="000000" w:themeColor="text1"/>
          <w:sz w:val="24"/>
        </w:rPr>
        <w:t xml:space="preserve"> </w:t>
      </w:r>
      <w:r w:rsidR="005B39EF">
        <w:rPr>
          <w:color w:val="000000" w:themeColor="text1"/>
          <w:sz w:val="24"/>
        </w:rPr>
        <w:t xml:space="preserve">The EqA 2010 </w:t>
      </w:r>
      <w:r w:rsidR="00C9704F">
        <w:rPr>
          <w:color w:val="000000" w:themeColor="text1"/>
          <w:sz w:val="24"/>
        </w:rPr>
        <w:t xml:space="preserve">is constructive; it </w:t>
      </w:r>
      <w:r w:rsidR="005B39EF">
        <w:rPr>
          <w:color w:val="000000" w:themeColor="text1"/>
          <w:sz w:val="24"/>
        </w:rPr>
        <w:t>both enables and denies, legitimising pr</w:t>
      </w:r>
      <w:r w:rsidR="00C9704F">
        <w:rPr>
          <w:color w:val="000000" w:themeColor="text1"/>
          <w:sz w:val="24"/>
        </w:rPr>
        <w:t xml:space="preserve">eviously unheard voices but denying the significance of </w:t>
      </w:r>
      <w:r w:rsidR="005B39EF">
        <w:rPr>
          <w:color w:val="000000" w:themeColor="text1"/>
          <w:sz w:val="24"/>
        </w:rPr>
        <w:t xml:space="preserve">class or intersectional disadvantage. </w:t>
      </w:r>
    </w:p>
    <w:p w:rsidR="005B39EF" w:rsidRDefault="00C9704F" w:rsidP="00E91C49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The aim of this paper, and a key focus of my doctoral thesis, is to critically examine the continued for</w:t>
      </w:r>
      <w:r w:rsidR="00147424">
        <w:rPr>
          <w:color w:val="000000" w:themeColor="text1"/>
          <w:sz w:val="24"/>
        </w:rPr>
        <w:t>egrounding of certain equality strands</w:t>
      </w:r>
      <w:r>
        <w:rPr>
          <w:color w:val="000000" w:themeColor="text1"/>
          <w:sz w:val="24"/>
        </w:rPr>
        <w:t xml:space="preserve"> above others within scholars</w:t>
      </w:r>
      <w:r w:rsidR="008F443A">
        <w:rPr>
          <w:color w:val="000000" w:themeColor="text1"/>
          <w:sz w:val="24"/>
        </w:rPr>
        <w:t>hip</w:t>
      </w:r>
      <w:r w:rsidR="00147424">
        <w:rPr>
          <w:color w:val="000000" w:themeColor="text1"/>
          <w:sz w:val="24"/>
        </w:rPr>
        <w:t>. The discursive</w:t>
      </w:r>
      <w:r w:rsidR="005B37F4">
        <w:rPr>
          <w:color w:val="000000" w:themeColor="text1"/>
          <w:sz w:val="24"/>
        </w:rPr>
        <w:t xml:space="preserve"> approach of </w:t>
      </w:r>
      <w:r w:rsidR="00E85923">
        <w:rPr>
          <w:color w:val="000000" w:themeColor="text1"/>
          <w:sz w:val="24"/>
        </w:rPr>
        <w:t xml:space="preserve">my forthcoming </w:t>
      </w:r>
      <w:r w:rsidR="005B37F4">
        <w:rPr>
          <w:color w:val="000000" w:themeColor="text1"/>
          <w:sz w:val="24"/>
        </w:rPr>
        <w:t>research will</w:t>
      </w:r>
      <w:r w:rsidR="008471B6">
        <w:rPr>
          <w:color w:val="000000" w:themeColor="text1"/>
          <w:sz w:val="24"/>
        </w:rPr>
        <w:t xml:space="preserve"> investigate</w:t>
      </w:r>
      <w:r w:rsidR="005B37F4">
        <w:rPr>
          <w:color w:val="000000" w:themeColor="text1"/>
          <w:sz w:val="24"/>
        </w:rPr>
        <w:t xml:space="preserve"> the enactment-level experiences of human resource practiti</w:t>
      </w:r>
      <w:r w:rsidR="00147424">
        <w:rPr>
          <w:color w:val="000000" w:themeColor="text1"/>
          <w:sz w:val="24"/>
        </w:rPr>
        <w:t>oners</w:t>
      </w:r>
      <w:r w:rsidR="008471B6">
        <w:rPr>
          <w:color w:val="000000" w:themeColor="text1"/>
          <w:sz w:val="24"/>
        </w:rPr>
        <w:t xml:space="preserve">, who </w:t>
      </w:r>
      <w:r w:rsidR="00634C00">
        <w:rPr>
          <w:color w:val="000000" w:themeColor="text1"/>
          <w:sz w:val="24"/>
        </w:rPr>
        <w:t xml:space="preserve">are tasked with navigating </w:t>
      </w:r>
      <w:r w:rsidR="00E85923">
        <w:rPr>
          <w:color w:val="000000" w:themeColor="text1"/>
          <w:sz w:val="24"/>
        </w:rPr>
        <w:t xml:space="preserve">the </w:t>
      </w:r>
      <w:r w:rsidR="008471B6">
        <w:rPr>
          <w:color w:val="000000" w:themeColor="text1"/>
          <w:sz w:val="24"/>
        </w:rPr>
        <w:t xml:space="preserve">broad scope of the </w:t>
      </w:r>
      <w:r w:rsidR="00E85923">
        <w:rPr>
          <w:color w:val="000000" w:themeColor="text1"/>
          <w:sz w:val="24"/>
        </w:rPr>
        <w:t>EqA 2010</w:t>
      </w:r>
      <w:r w:rsidR="00634C00">
        <w:rPr>
          <w:color w:val="000000" w:themeColor="text1"/>
          <w:sz w:val="24"/>
        </w:rPr>
        <w:t xml:space="preserve"> and</w:t>
      </w:r>
      <w:r w:rsidR="00147424">
        <w:rPr>
          <w:color w:val="000000" w:themeColor="text1"/>
          <w:sz w:val="24"/>
        </w:rPr>
        <w:t xml:space="preserve"> </w:t>
      </w:r>
      <w:r w:rsidR="00DF6069">
        <w:rPr>
          <w:color w:val="000000" w:themeColor="text1"/>
          <w:sz w:val="24"/>
        </w:rPr>
        <w:t xml:space="preserve">the </w:t>
      </w:r>
      <w:r w:rsidR="00147424">
        <w:rPr>
          <w:color w:val="000000" w:themeColor="text1"/>
          <w:sz w:val="24"/>
        </w:rPr>
        <w:t>individualistic, complaints-based tribunal model</w:t>
      </w:r>
      <w:r w:rsidR="00E85923">
        <w:rPr>
          <w:color w:val="000000" w:themeColor="text1"/>
          <w:sz w:val="24"/>
        </w:rPr>
        <w:t>.</w:t>
      </w:r>
      <w:r w:rsidR="00147424">
        <w:rPr>
          <w:color w:val="000000" w:themeColor="text1"/>
          <w:sz w:val="24"/>
        </w:rPr>
        <w:t xml:space="preserve"> </w:t>
      </w:r>
    </w:p>
    <w:p w:rsidR="00E85923" w:rsidRDefault="00DF6069" w:rsidP="00E91C49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Word count: 296</w:t>
      </w:r>
      <w:r w:rsidR="00566E2A">
        <w:rPr>
          <w:color w:val="000000" w:themeColor="text1"/>
          <w:sz w:val="24"/>
        </w:rPr>
        <w:t xml:space="preserve"> w</w:t>
      </w:r>
      <w:r w:rsidR="00B966D8">
        <w:rPr>
          <w:color w:val="000000" w:themeColor="text1"/>
          <w:sz w:val="24"/>
        </w:rPr>
        <w:t xml:space="preserve">ords </w:t>
      </w:r>
    </w:p>
    <w:p w:rsidR="00BE7239" w:rsidRDefault="00BE7239" w:rsidP="00E91C49">
      <w:pPr>
        <w:jc w:val="both"/>
        <w:rPr>
          <w:color w:val="000000" w:themeColor="text1"/>
          <w:sz w:val="24"/>
        </w:rPr>
      </w:pPr>
    </w:p>
    <w:p w:rsidR="00B966D8" w:rsidRDefault="00B966D8" w:rsidP="00E91C49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References </w:t>
      </w:r>
    </w:p>
    <w:p w:rsidR="00B966D8" w:rsidRPr="00AA04C6" w:rsidRDefault="00B966D8" w:rsidP="00B966D8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Acker, J (2006) 'Inequality Regimes: Gender, Class, and Race in Organizations', </w:t>
      </w:r>
      <w:r w:rsidRPr="00AA04C6">
        <w:rPr>
          <w:rFonts w:eastAsia="Times New Roman" w:cstheme="minorHAnsi"/>
          <w:i/>
          <w:iCs/>
          <w:color w:val="000000" w:themeColor="text1"/>
          <w:sz w:val="24"/>
          <w:szCs w:val="24"/>
        </w:rPr>
        <w:t>Gender and Society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>, 20:4,</w:t>
      </w:r>
      <w:r w:rsidRPr="00AA04C6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>pp. 441-464</w:t>
      </w:r>
    </w:p>
    <w:p w:rsidR="00B966D8" w:rsidRPr="00AA04C6" w:rsidRDefault="00B966D8" w:rsidP="00B966D8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AA04C6">
        <w:rPr>
          <w:rFonts w:eastAsia="Times New Roman" w:cstheme="minorHAnsi"/>
          <w:color w:val="000000" w:themeColor="text1"/>
          <w:sz w:val="24"/>
          <w:szCs w:val="24"/>
        </w:rPr>
        <w:t>Adib, A and Guerrier, Y (2012) ‘</w:t>
      </w:r>
      <w:proofErr w:type="gramStart"/>
      <w:r w:rsidRPr="00AA04C6">
        <w:rPr>
          <w:rFonts w:eastAsia="Times New Roman" w:cstheme="minorHAnsi"/>
          <w:color w:val="000000" w:themeColor="text1"/>
          <w:sz w:val="24"/>
          <w:szCs w:val="24"/>
        </w:rPr>
        <w:t>The</w:t>
      </w:r>
      <w:proofErr w:type="gramEnd"/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 Interlocking of Gender with Nationality, Race, Ethnicity and Class: the Narratives of Women in Hotel Work’, </w:t>
      </w:r>
      <w:r w:rsidRPr="00AA04C6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Gender, Work and Organisation, 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>10:4, pp. 413 - 432</w:t>
      </w:r>
    </w:p>
    <w:p w:rsidR="00B966D8" w:rsidRPr="00AA04C6" w:rsidRDefault="00B966D8" w:rsidP="00B966D8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AA04C6">
        <w:rPr>
          <w:rFonts w:eastAsia="Times New Roman" w:cstheme="minorHAnsi"/>
          <w:color w:val="000000" w:themeColor="text1"/>
          <w:sz w:val="24"/>
          <w:szCs w:val="24"/>
        </w:rPr>
        <w:lastRenderedPageBreak/>
        <w:t xml:space="preserve">Guerrier, Y and Wilson, C (2011) ‘Representing diversity on UK company websites’, </w:t>
      </w:r>
      <w:r w:rsidRPr="00AA04C6">
        <w:rPr>
          <w:rFonts w:eastAsia="Times New Roman" w:cstheme="minorHAnsi"/>
          <w:i/>
          <w:color w:val="000000" w:themeColor="text1"/>
          <w:sz w:val="24"/>
          <w:szCs w:val="24"/>
        </w:rPr>
        <w:t>Diversity, Equality and Inclusion: An International Journal,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 30:3, pp.183-195</w:t>
      </w:r>
    </w:p>
    <w:p w:rsidR="00B966D8" w:rsidRPr="00AA04C6" w:rsidRDefault="00B966D8" w:rsidP="00B966D8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Healy, G, Kirton, G and Noon, M (2011) ‘Inequalities, intersectionality and equality and diversity initiatives’ in Healy, G, Kirton, G and Noon, M (Eds.) </w:t>
      </w:r>
      <w:r w:rsidRPr="00AA04C6">
        <w:rPr>
          <w:rFonts w:eastAsia="Times New Roman" w:cstheme="minorHAnsi"/>
          <w:i/>
          <w:color w:val="000000" w:themeColor="text1"/>
          <w:sz w:val="24"/>
          <w:szCs w:val="24"/>
        </w:rPr>
        <w:t xml:space="preserve">Equalities, Inequalities and Diversity, 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Basingstoke: Palgrave, pp. 1-17 </w:t>
      </w:r>
    </w:p>
    <w:p w:rsidR="00B966D8" w:rsidRPr="00AA04C6" w:rsidRDefault="00B966D8" w:rsidP="00B966D8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AA04C6">
        <w:rPr>
          <w:rFonts w:eastAsia="Times New Roman" w:cstheme="minorHAnsi"/>
          <w:color w:val="000000" w:themeColor="text1"/>
          <w:sz w:val="24"/>
          <w:szCs w:val="24"/>
        </w:rPr>
        <w:t>Woodhams, C and Danieli, A (2000) 'Disability and diversity – a difference too far?</w:t>
      </w:r>
      <w:proofErr w:type="gramStart"/>
      <w:r w:rsidRPr="00AA04C6">
        <w:rPr>
          <w:rFonts w:eastAsia="Times New Roman" w:cstheme="minorHAnsi"/>
          <w:color w:val="000000" w:themeColor="text1"/>
          <w:sz w:val="24"/>
          <w:szCs w:val="24"/>
        </w:rPr>
        <w:t>',</w:t>
      </w:r>
      <w:proofErr w:type="gramEnd"/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Pr="00AA04C6">
        <w:rPr>
          <w:rFonts w:eastAsia="Times New Roman" w:cstheme="minorHAnsi"/>
          <w:i/>
          <w:iCs/>
          <w:color w:val="000000" w:themeColor="text1"/>
          <w:sz w:val="24"/>
          <w:szCs w:val="24"/>
        </w:rPr>
        <w:t>Personnel Review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>, 29:3, pp. 402-417</w:t>
      </w:r>
    </w:p>
    <w:p w:rsidR="00B966D8" w:rsidRPr="00004B46" w:rsidRDefault="00B966D8" w:rsidP="00004B4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AA04C6">
        <w:rPr>
          <w:rFonts w:eastAsia="Times New Roman" w:cstheme="minorHAnsi"/>
          <w:color w:val="000000" w:themeColor="text1"/>
          <w:sz w:val="24"/>
          <w:szCs w:val="24"/>
        </w:rPr>
        <w:t>Zanoni, P and Janssens M (2003) ‘</w:t>
      </w:r>
      <w:proofErr w:type="gramStart"/>
      <w:r w:rsidRPr="00AA04C6">
        <w:rPr>
          <w:rFonts w:eastAsia="Times New Roman" w:cstheme="minorHAnsi"/>
          <w:color w:val="000000" w:themeColor="text1"/>
          <w:sz w:val="24"/>
          <w:szCs w:val="24"/>
        </w:rPr>
        <w:t>Deconstructing</w:t>
      </w:r>
      <w:proofErr w:type="gramEnd"/>
      <w:r w:rsidRPr="00AA04C6">
        <w:rPr>
          <w:rFonts w:eastAsia="Times New Roman" w:cstheme="minorHAnsi"/>
          <w:color w:val="000000" w:themeColor="text1"/>
          <w:sz w:val="24"/>
          <w:szCs w:val="24"/>
        </w:rPr>
        <w:t xml:space="preserve"> difference: The Rhetoric of Human Resource Managers’ diversity discourses’ </w:t>
      </w:r>
      <w:r w:rsidRPr="00AA04C6">
        <w:rPr>
          <w:rFonts w:eastAsia="Times New Roman" w:cstheme="minorHAnsi"/>
          <w:i/>
          <w:iCs/>
          <w:color w:val="000000" w:themeColor="text1"/>
          <w:sz w:val="24"/>
          <w:szCs w:val="24"/>
        </w:rPr>
        <w:t xml:space="preserve">Organisation Studies, </w:t>
      </w:r>
      <w:r w:rsidRPr="00AA04C6">
        <w:rPr>
          <w:rFonts w:eastAsia="Times New Roman" w:cstheme="minorHAnsi"/>
          <w:color w:val="000000" w:themeColor="text1"/>
          <w:sz w:val="24"/>
          <w:szCs w:val="24"/>
        </w:rPr>
        <w:t>25:1, pp.55-74</w:t>
      </w:r>
    </w:p>
    <w:p w:rsidR="00F6255C" w:rsidRDefault="00F6255C">
      <w:p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br w:type="page"/>
      </w:r>
    </w:p>
    <w:p w:rsidR="00B966D8" w:rsidRDefault="00F6255C" w:rsidP="00E91C49">
      <w:pPr>
        <w:jc w:val="both"/>
        <w:rPr>
          <w:b/>
          <w:bCs/>
          <w:color w:val="000000" w:themeColor="text1"/>
          <w:sz w:val="24"/>
        </w:rPr>
      </w:pPr>
      <w:r w:rsidRPr="00F6255C">
        <w:rPr>
          <w:b/>
          <w:bCs/>
          <w:color w:val="000000" w:themeColor="text1"/>
          <w:sz w:val="24"/>
        </w:rPr>
        <w:lastRenderedPageBreak/>
        <w:t>Autobiographical Note</w:t>
      </w:r>
    </w:p>
    <w:p w:rsidR="00F6255C" w:rsidRPr="00F6255C" w:rsidRDefault="00F6255C" w:rsidP="00E91C49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Helen Mortimore is a first year PhD student at the University of Plymouth. The working title of her thesis is ‘Protected Characteristics and the threat of litigation: A discourse Analytic study of the experiences of Human Resource Practitioners’. </w:t>
      </w:r>
      <w:bookmarkStart w:id="0" w:name="_GoBack"/>
      <w:bookmarkEnd w:id="0"/>
    </w:p>
    <w:p w:rsidR="00F6255C" w:rsidRDefault="00F6255C" w:rsidP="00E91C49">
      <w:pPr>
        <w:jc w:val="both"/>
        <w:rPr>
          <w:color w:val="000000" w:themeColor="text1"/>
          <w:sz w:val="24"/>
        </w:rPr>
      </w:pPr>
    </w:p>
    <w:p w:rsidR="00F6255C" w:rsidRDefault="00F6255C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7F4" w:rsidRDefault="005B37F4" w:rsidP="00E91C49">
      <w:pPr>
        <w:jc w:val="both"/>
        <w:rPr>
          <w:color w:val="000000" w:themeColor="text1"/>
          <w:sz w:val="24"/>
        </w:rPr>
      </w:pPr>
    </w:p>
    <w:p w:rsidR="005B39EF" w:rsidRPr="00E91C49" w:rsidRDefault="005B39EF" w:rsidP="00E91C49">
      <w:pPr>
        <w:jc w:val="both"/>
        <w:rPr>
          <w:color w:val="000000" w:themeColor="text1"/>
          <w:sz w:val="24"/>
          <w:szCs w:val="24"/>
        </w:rPr>
      </w:pPr>
    </w:p>
    <w:p w:rsidR="00E91C49" w:rsidRDefault="00E91C49" w:rsidP="008C5632">
      <w:pPr>
        <w:jc w:val="both"/>
        <w:rPr>
          <w:color w:val="000000" w:themeColor="text1"/>
          <w:sz w:val="24"/>
        </w:rPr>
      </w:pPr>
    </w:p>
    <w:p w:rsidR="00E91C49" w:rsidRDefault="00E91C49" w:rsidP="008C5632">
      <w:pPr>
        <w:jc w:val="both"/>
        <w:rPr>
          <w:color w:val="000000" w:themeColor="text1"/>
          <w:sz w:val="24"/>
        </w:rPr>
      </w:pPr>
    </w:p>
    <w:p w:rsidR="00E91C49" w:rsidRDefault="00E91C49" w:rsidP="008C5632">
      <w:pPr>
        <w:jc w:val="both"/>
        <w:rPr>
          <w:color w:val="000000" w:themeColor="text1"/>
          <w:sz w:val="24"/>
        </w:rPr>
      </w:pPr>
    </w:p>
    <w:p w:rsidR="00CA18FE" w:rsidRPr="00C237F1" w:rsidRDefault="00CA18FE" w:rsidP="00C237F1">
      <w:pPr>
        <w:jc w:val="both"/>
        <w:rPr>
          <w:sz w:val="24"/>
          <w:szCs w:val="24"/>
        </w:rPr>
      </w:pPr>
    </w:p>
    <w:sectPr w:rsidR="00CA18FE" w:rsidRPr="00C237F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B95" w:rsidRDefault="00A23B95" w:rsidP="00A23B95">
      <w:pPr>
        <w:spacing w:after="0" w:line="240" w:lineRule="auto"/>
      </w:pPr>
      <w:r>
        <w:separator/>
      </w:r>
    </w:p>
  </w:endnote>
  <w:endnote w:type="continuationSeparator" w:id="0">
    <w:p w:rsidR="00A23B95" w:rsidRDefault="00A23B95" w:rsidP="00A2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B95" w:rsidRDefault="00A23B95" w:rsidP="00A23B95">
      <w:pPr>
        <w:spacing w:after="0" w:line="240" w:lineRule="auto"/>
      </w:pPr>
      <w:r>
        <w:separator/>
      </w:r>
    </w:p>
  </w:footnote>
  <w:footnote w:type="continuationSeparator" w:id="0">
    <w:p w:rsidR="00A23B95" w:rsidRDefault="00A23B95" w:rsidP="00A23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B95" w:rsidRPr="00FB5682" w:rsidRDefault="00A23B95">
    <w:pPr>
      <w:pStyle w:val="Header"/>
      <w:rPr>
        <w:lang w:val="en"/>
      </w:rPr>
    </w:pPr>
    <w:r>
      <w:t xml:space="preserve">Helen Mortimore </w:t>
    </w:r>
    <w:r w:rsidR="00FB5682">
      <w:tab/>
    </w:r>
    <w:r w:rsidR="00FB5682">
      <w:tab/>
      <w:t xml:space="preserve">University of Plymouth Business School </w:t>
    </w:r>
    <w:r w:rsidR="00FB5682">
      <w:tab/>
      <w:t xml:space="preserve">                                                                                                                  </w:t>
    </w:r>
  </w:p>
  <w:p w:rsidR="00A23B95" w:rsidRDefault="00A23B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C6"/>
    <w:rsid w:val="000011F0"/>
    <w:rsid w:val="00004B46"/>
    <w:rsid w:val="00021205"/>
    <w:rsid w:val="00023D14"/>
    <w:rsid w:val="000357DE"/>
    <w:rsid w:val="000E199E"/>
    <w:rsid w:val="000F345B"/>
    <w:rsid w:val="000F7E5B"/>
    <w:rsid w:val="00107C11"/>
    <w:rsid w:val="0012304C"/>
    <w:rsid w:val="001418FE"/>
    <w:rsid w:val="00141EC9"/>
    <w:rsid w:val="00147424"/>
    <w:rsid w:val="00153093"/>
    <w:rsid w:val="00154D2A"/>
    <w:rsid w:val="00176E8B"/>
    <w:rsid w:val="001A104C"/>
    <w:rsid w:val="002239B7"/>
    <w:rsid w:val="002B75FA"/>
    <w:rsid w:val="002C4C21"/>
    <w:rsid w:val="002D5284"/>
    <w:rsid w:val="002F6B74"/>
    <w:rsid w:val="00306C1D"/>
    <w:rsid w:val="003323EB"/>
    <w:rsid w:val="003366D3"/>
    <w:rsid w:val="00343CB1"/>
    <w:rsid w:val="0036222C"/>
    <w:rsid w:val="003629AF"/>
    <w:rsid w:val="0036532A"/>
    <w:rsid w:val="003802DD"/>
    <w:rsid w:val="003C379E"/>
    <w:rsid w:val="003F2CEA"/>
    <w:rsid w:val="00461232"/>
    <w:rsid w:val="0046751D"/>
    <w:rsid w:val="004950DE"/>
    <w:rsid w:val="004B17D3"/>
    <w:rsid w:val="00542915"/>
    <w:rsid w:val="00546217"/>
    <w:rsid w:val="005569DD"/>
    <w:rsid w:val="0056602D"/>
    <w:rsid w:val="00566E2A"/>
    <w:rsid w:val="0056715D"/>
    <w:rsid w:val="00597B32"/>
    <w:rsid w:val="005A3EC7"/>
    <w:rsid w:val="005B37F4"/>
    <w:rsid w:val="005B39EF"/>
    <w:rsid w:val="005B50FC"/>
    <w:rsid w:val="005C109A"/>
    <w:rsid w:val="005C42CE"/>
    <w:rsid w:val="00600369"/>
    <w:rsid w:val="00606519"/>
    <w:rsid w:val="00606FE7"/>
    <w:rsid w:val="00634C00"/>
    <w:rsid w:val="006B0ACA"/>
    <w:rsid w:val="006C0560"/>
    <w:rsid w:val="006C3BFE"/>
    <w:rsid w:val="006C6A52"/>
    <w:rsid w:val="006D7351"/>
    <w:rsid w:val="006E0424"/>
    <w:rsid w:val="006E468A"/>
    <w:rsid w:val="006F527F"/>
    <w:rsid w:val="00700CB9"/>
    <w:rsid w:val="0072310B"/>
    <w:rsid w:val="0078127B"/>
    <w:rsid w:val="0078179A"/>
    <w:rsid w:val="007E111C"/>
    <w:rsid w:val="00840650"/>
    <w:rsid w:val="008471B6"/>
    <w:rsid w:val="008522FB"/>
    <w:rsid w:val="00867303"/>
    <w:rsid w:val="008800EB"/>
    <w:rsid w:val="00897359"/>
    <w:rsid w:val="008B171A"/>
    <w:rsid w:val="008C5632"/>
    <w:rsid w:val="008E012F"/>
    <w:rsid w:val="008F443A"/>
    <w:rsid w:val="00921D67"/>
    <w:rsid w:val="00926086"/>
    <w:rsid w:val="00933FD2"/>
    <w:rsid w:val="009936D6"/>
    <w:rsid w:val="009C484B"/>
    <w:rsid w:val="00A0156D"/>
    <w:rsid w:val="00A076A8"/>
    <w:rsid w:val="00A23B95"/>
    <w:rsid w:val="00AD5BC9"/>
    <w:rsid w:val="00B02C13"/>
    <w:rsid w:val="00B172BA"/>
    <w:rsid w:val="00B34DD6"/>
    <w:rsid w:val="00B42469"/>
    <w:rsid w:val="00B84FC2"/>
    <w:rsid w:val="00B91173"/>
    <w:rsid w:val="00B966D8"/>
    <w:rsid w:val="00BB5EAE"/>
    <w:rsid w:val="00BE7239"/>
    <w:rsid w:val="00C10648"/>
    <w:rsid w:val="00C237F1"/>
    <w:rsid w:val="00C323BC"/>
    <w:rsid w:val="00C40FA7"/>
    <w:rsid w:val="00C50F80"/>
    <w:rsid w:val="00C6725F"/>
    <w:rsid w:val="00C73CF3"/>
    <w:rsid w:val="00C9704F"/>
    <w:rsid w:val="00C97F0F"/>
    <w:rsid w:val="00CA18FE"/>
    <w:rsid w:val="00CA4A61"/>
    <w:rsid w:val="00CC7BAF"/>
    <w:rsid w:val="00CD30A7"/>
    <w:rsid w:val="00CE7975"/>
    <w:rsid w:val="00CF7015"/>
    <w:rsid w:val="00D21364"/>
    <w:rsid w:val="00D427F9"/>
    <w:rsid w:val="00D61CA9"/>
    <w:rsid w:val="00D70FBE"/>
    <w:rsid w:val="00DB0A27"/>
    <w:rsid w:val="00DB2105"/>
    <w:rsid w:val="00DE6AD4"/>
    <w:rsid w:val="00DF6069"/>
    <w:rsid w:val="00E01250"/>
    <w:rsid w:val="00E0419F"/>
    <w:rsid w:val="00E80CF8"/>
    <w:rsid w:val="00E85923"/>
    <w:rsid w:val="00E86D08"/>
    <w:rsid w:val="00E91C49"/>
    <w:rsid w:val="00EB6A31"/>
    <w:rsid w:val="00ED3E5C"/>
    <w:rsid w:val="00EE3556"/>
    <w:rsid w:val="00F37C9F"/>
    <w:rsid w:val="00F6255C"/>
    <w:rsid w:val="00F965BF"/>
    <w:rsid w:val="00FA5AED"/>
    <w:rsid w:val="00FB5682"/>
    <w:rsid w:val="00FC28CC"/>
    <w:rsid w:val="00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B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B95"/>
  </w:style>
  <w:style w:type="paragraph" w:styleId="Footer">
    <w:name w:val="footer"/>
    <w:basedOn w:val="Normal"/>
    <w:link w:val="FooterChar"/>
    <w:uiPriority w:val="99"/>
    <w:unhideWhenUsed/>
    <w:rsid w:val="00A23B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B95"/>
  </w:style>
  <w:style w:type="paragraph" w:styleId="BalloonText">
    <w:name w:val="Balloon Text"/>
    <w:basedOn w:val="Normal"/>
    <w:link w:val="BalloonTextChar"/>
    <w:uiPriority w:val="99"/>
    <w:semiHidden/>
    <w:unhideWhenUsed/>
    <w:rsid w:val="00A2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B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B95"/>
  </w:style>
  <w:style w:type="paragraph" w:styleId="Footer">
    <w:name w:val="footer"/>
    <w:basedOn w:val="Normal"/>
    <w:link w:val="FooterChar"/>
    <w:uiPriority w:val="99"/>
    <w:unhideWhenUsed/>
    <w:rsid w:val="00A23B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B95"/>
  </w:style>
  <w:style w:type="paragraph" w:styleId="BalloonText">
    <w:name w:val="Balloon Text"/>
    <w:basedOn w:val="Normal"/>
    <w:link w:val="BalloonTextChar"/>
    <w:uiPriority w:val="99"/>
    <w:semiHidden/>
    <w:unhideWhenUsed/>
    <w:rsid w:val="00A2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Plymouth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Mortimore</dc:creator>
  <cp:lastModifiedBy>Helen Mortimore</cp:lastModifiedBy>
  <cp:revision>7</cp:revision>
  <cp:lastPrinted>2013-01-22T19:15:00Z</cp:lastPrinted>
  <dcterms:created xsi:type="dcterms:W3CDTF">2013-01-22T23:56:00Z</dcterms:created>
  <dcterms:modified xsi:type="dcterms:W3CDTF">2013-01-30T14:21:00Z</dcterms:modified>
</cp:coreProperties>
</file>